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60539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6" w:name="_GoBack"/>
      <w:bookmarkEnd w:id="6"/>
    </w:p>
    <w:p w14:paraId="493DC603">
      <w:pPr>
        <w:spacing w:line="0" w:lineRule="atLeast"/>
        <w:rPr>
          <w:rFonts w:ascii="Arial" w:hAnsi="Arial" w:cs="Arial"/>
          <w:b/>
          <w:color w:val="C9142A"/>
          <w:sz w:val="36"/>
          <w:szCs w:val="36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</w:rPr>
        <w:t>2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8</w:t>
      </w:r>
      <w:r>
        <w:rPr>
          <w:rFonts w:ascii="Arial" w:hAnsi="Arial" w:cs="Arial"/>
          <w:b/>
          <w:color w:val="C9142A"/>
          <w:sz w:val="36"/>
          <w:szCs w:val="36"/>
        </w:rPr>
        <w:t>00</w:t>
      </w:r>
    </w:p>
    <w:p w14:paraId="7B4DAAA7">
      <w:pPr>
        <w:spacing w:line="320" w:lineRule="exact"/>
        <w:rPr>
          <w:rFonts w:ascii="微软雅黑" w:hAnsi="微软雅黑" w:eastAsia="微软雅黑" w:cs="Arial"/>
          <w:b/>
          <w:color w:val="C9142A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高显色高粘</w:t>
      </w: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灰</w:t>
      </w: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胶车身贴-环保</w:t>
      </w:r>
    </w:p>
    <w:p w14:paraId="73C085CF">
      <w:pPr>
        <w:spacing w:line="320" w:lineRule="exact"/>
        <w:rPr>
          <w:rFonts w:hint="eastAsia" w:ascii="Tahoma" w:hAnsi="Tahoma" w:cs="Tahoma"/>
          <w:szCs w:val="21"/>
        </w:rPr>
      </w:pPr>
    </w:p>
    <w:p w14:paraId="199D9505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5F230CAF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面膜：90micron 米黄色PVC光膜；</w:t>
      </w:r>
    </w:p>
    <w:p w14:paraId="5F2F53E9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永久性高粘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灰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胶；</w:t>
      </w:r>
    </w:p>
    <w:p w14:paraId="55447CE6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底纸：140gsm单面PEK本白纯木浆白硅纸</w:t>
      </w:r>
    </w:p>
    <w:p w14:paraId="72E6717D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宽幅：1.06/1.27/1.37/1.52m</w:t>
      </w:r>
    </w:p>
    <w:p w14:paraId="3B957CAF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3259E4E6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1、产品高显色性，色彩还原度高，面膜颜色适合欧洲风格；</w:t>
      </w:r>
    </w:p>
    <w:p w14:paraId="3CF650B2">
      <w:pPr>
        <w:rPr>
          <w:rFonts w:ascii="微软雅黑" w:hAnsi="微软雅黑" w:eastAsia="微软雅黑"/>
          <w:sz w:val="18"/>
          <w:szCs w:val="18"/>
        </w:rPr>
      </w:pPr>
      <w:bookmarkStart w:id="0" w:name="OLE_LINK5"/>
      <w:bookmarkStart w:id="1" w:name="OLE_LINK4"/>
      <w:bookmarkStart w:id="2" w:name="OLE_LINK3"/>
      <w:bookmarkStart w:id="3" w:name="OLE_LINK2"/>
      <w:bookmarkStart w:id="4" w:name="OLE_LINK6"/>
      <w:bookmarkStart w:id="5" w:name="OLE_LINK1"/>
      <w:r>
        <w:rPr>
          <w:rFonts w:hint="eastAsia" w:ascii="微软雅黑" w:hAnsi="微软雅黑" w:eastAsia="微软雅黑"/>
          <w:sz w:val="18"/>
          <w:szCs w:val="18"/>
        </w:rPr>
        <w:t>2、</w:t>
      </w:r>
      <w:r>
        <w:rPr>
          <w:rFonts w:ascii="微软雅黑" w:hAnsi="微软雅黑" w:eastAsia="微软雅黑"/>
          <w:sz w:val="18"/>
          <w:szCs w:val="18"/>
        </w:rPr>
        <w:t>产品吸墨稳定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/>
          <w:sz w:val="18"/>
          <w:szCs w:val="18"/>
        </w:rPr>
        <w:t>，耐候性好，尺寸稳定性好；</w:t>
      </w:r>
    </w:p>
    <w:p w14:paraId="758B5CB1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3、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通过REACH(</w:t>
      </w:r>
      <w:r>
        <w:rPr>
          <w:rFonts w:ascii="微软雅黑" w:hAnsi="微软雅黑" w:eastAsia="微软雅黑" w:cs="Tahoma"/>
          <w:kern w:val="0"/>
          <w:sz w:val="18"/>
          <w:szCs w:val="16"/>
        </w:rPr>
        <w:t>NO 1907/2006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)、RoSH2.0认证，符合欧盟环保要求；</w:t>
      </w:r>
    </w:p>
    <w:p w14:paraId="0F01C2D3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4、胶水性能为永久性高粘胶。</w:t>
      </w:r>
    </w:p>
    <w:p w14:paraId="747C7400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7E246A59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适用于墙面应用、板材应用（如：室内墙面或粗糙的木板表面），不建议贴于户外水泥及红砖墙面。</w:t>
      </w:r>
    </w:p>
    <w:p w14:paraId="2F412A07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本产品适用于各种溶剂型、弱溶剂型和UV墨水喷印方式。</w:t>
      </w:r>
    </w:p>
    <w:p w14:paraId="780A23DF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1EF749E2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5"/>
        <w:tblW w:w="677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113"/>
        <w:gridCol w:w="1972"/>
        <w:gridCol w:w="1686"/>
      </w:tblGrid>
      <w:tr w14:paraId="00FDE1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20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04BC73E1">
            <w:pPr>
              <w:ind w:firstLine="320"/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指标</w:t>
            </w:r>
          </w:p>
        </w:tc>
        <w:tc>
          <w:tcPr>
            <w:tcW w:w="11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4AB4EF46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单位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6009F59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测试方法</w:t>
            </w:r>
          </w:p>
        </w:tc>
        <w:tc>
          <w:tcPr>
            <w:tcW w:w="168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46836876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标准</w:t>
            </w:r>
          </w:p>
        </w:tc>
      </w:tr>
      <w:tr w14:paraId="46D65BE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</w:trPr>
        <w:tc>
          <w:tcPr>
            <w:tcW w:w="20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AB785B8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PVC 膜厚度</w:t>
            </w:r>
          </w:p>
          <w:p w14:paraId="74042CE8">
            <w:pPr>
              <w:rPr>
                <w:rFonts w:ascii="Tahoma" w:hAnsi="Tahoma" w:cs="Tahoma"/>
                <w:b/>
                <w:color w:val="000000"/>
                <w:sz w:val="16"/>
                <w:szCs w:val="18"/>
              </w:rPr>
            </w:pP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>底纸克重</w:t>
            </w:r>
          </w:p>
          <w:p w14:paraId="0CCC478F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成品重量</w:t>
            </w:r>
          </w:p>
          <w:p w14:paraId="44F71197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光泽度 60°</w:t>
            </w:r>
          </w:p>
          <w:p w14:paraId="0288D89D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初粘力</w:t>
            </w:r>
          </w:p>
          <w:p w14:paraId="37C24DAD">
            <w:pPr>
              <w:rPr>
                <w:rFonts w:ascii="Tahoma" w:hAnsi="Tahoma" w:cs="Tahoma"/>
                <w:b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4DFEA3A1">
            <w:pPr>
              <w:rPr>
                <w:rFonts w:ascii="Tahoma" w:hAnsi="Tahoma" w:cs="Tahoma"/>
                <w:b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尺寸稳定性MD</w:t>
            </w:r>
          </w:p>
          <w:p w14:paraId="67E8FE9A">
            <w:pPr>
              <w:rPr>
                <w:rFonts w:ascii="Tahoma" w:hAnsi="Tahoma" w:cs="Tahoma"/>
                <w:b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尺寸稳定性CD</w:t>
            </w:r>
          </w:p>
          <w:p w14:paraId="0F1B39BC">
            <w:pPr>
              <w:rPr>
                <w:rFonts w:ascii="Tahoma" w:hAnsi="Tahoma" w:cs="Tahoma"/>
                <w:b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拉伸强度 MD</w:t>
            </w:r>
          </w:p>
          <w:p w14:paraId="44ED606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拉伸强度 CD</w:t>
            </w:r>
          </w:p>
          <w:p w14:paraId="10382069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施工温度</w:t>
            </w:r>
          </w:p>
          <w:p w14:paraId="68F65502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适用温度</w:t>
            </w:r>
          </w:p>
        </w:tc>
        <w:tc>
          <w:tcPr>
            <w:tcW w:w="11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B1693A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>icron</w:t>
            </w:r>
          </w:p>
          <w:p w14:paraId="15F72A3D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g/m²</w:t>
            </w:r>
          </w:p>
          <w:p w14:paraId="2983B06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g/m²</w:t>
            </w:r>
          </w:p>
          <w:p w14:paraId="771AFD36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%</w:t>
            </w:r>
          </w:p>
          <w:p w14:paraId="0F5561E8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N/25mm</w:t>
            </w:r>
          </w:p>
          <w:p w14:paraId="2F08EF1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N/25mm</w:t>
            </w:r>
          </w:p>
          <w:p w14:paraId="69834D3C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mm</w:t>
            </w:r>
          </w:p>
          <w:p w14:paraId="399F981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mm</w:t>
            </w:r>
          </w:p>
          <w:p w14:paraId="0F3343FC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 mm</w:t>
            </w:r>
          </w:p>
          <w:p w14:paraId="5FC1A87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 mm</w:t>
            </w:r>
          </w:p>
          <w:p w14:paraId="2B80C468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6"/>
                <w:szCs w:val="18"/>
              </w:rPr>
              <w:t>℃</w:t>
            </w:r>
          </w:p>
          <w:p w14:paraId="1F1E4F03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6"/>
                <w:szCs w:val="18"/>
              </w:rPr>
              <w:t>℃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28CB0FB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GB/T6672-2001</w:t>
            </w:r>
          </w:p>
          <w:p w14:paraId="712A62C9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GB4669-1995</w:t>
            </w:r>
          </w:p>
          <w:p w14:paraId="747A10D4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GB4669-1995</w:t>
            </w:r>
          </w:p>
          <w:p w14:paraId="00F27335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GB8807-88</w:t>
            </w:r>
          </w:p>
          <w:p w14:paraId="3859D0E2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9</w:t>
            </w:r>
          </w:p>
          <w:p w14:paraId="4D0429B9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1</w:t>
            </w:r>
          </w:p>
          <w:p w14:paraId="778EBC8F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14</w:t>
            </w:r>
          </w:p>
          <w:p w14:paraId="0F7BECD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 xml:space="preserve">14   </w:t>
            </w:r>
          </w:p>
          <w:p w14:paraId="63D259CE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GB/T1040.1-2006</w:t>
            </w:r>
          </w:p>
          <w:p w14:paraId="3D9C0901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GB/T1040.1-2006</w:t>
            </w:r>
          </w:p>
          <w:p w14:paraId="7C1C95D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</w:p>
        </w:tc>
        <w:tc>
          <w:tcPr>
            <w:tcW w:w="168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68645ED5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0±10</w:t>
            </w:r>
          </w:p>
          <w:p w14:paraId="3821D051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±10</w:t>
            </w:r>
          </w:p>
          <w:p w14:paraId="2A15249F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290±20</w:t>
            </w:r>
          </w:p>
          <w:p w14:paraId="097A8DAD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  <w:p w14:paraId="7558167F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  <w:p w14:paraId="6B9B21FF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≥1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328048BD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  <w:p w14:paraId="17DF1A23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  <w:p w14:paraId="37F30AA2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  <w:p w14:paraId="0EC98561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3E3E1846">
            <w:pPr>
              <w:rPr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030D194C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 w14:paraId="5213C296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2DD70603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1D3B820D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所有INFLEX的产品需储放在原始包装中用原始的保护材料，建议密封保存，水平放置，叠放层高不宜超过6层，避免阳光直射、热源直接接触。仓储温度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5℃、相对湿度50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15%。在这种条件下，该产品储存期是12个月。</w:t>
      </w:r>
    </w:p>
    <w:p w14:paraId="2B552047">
      <w:pPr>
        <w:rPr>
          <w:rFonts w:ascii="微软雅黑" w:hAnsi="微软雅黑" w:eastAsia="微软雅黑"/>
          <w:sz w:val="18"/>
          <w:szCs w:val="18"/>
        </w:rPr>
      </w:pPr>
    </w:p>
    <w:p w14:paraId="6D997D8E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1A26BC59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制作环境：</w:t>
      </w:r>
      <w:r>
        <w:rPr>
          <w:rFonts w:ascii="微软雅黑" w:hAnsi="微软雅黑" w:eastAsia="微软雅黑"/>
          <w:sz w:val="18"/>
          <w:szCs w:val="18"/>
        </w:rPr>
        <w:t>INFLEX</w:t>
      </w:r>
      <w:r>
        <w:rPr>
          <w:rFonts w:hint="eastAsia" w:ascii="微软雅黑" w:hAnsi="微软雅黑" w:eastAsia="微软雅黑"/>
          <w:sz w:val="18"/>
          <w:szCs w:val="18"/>
        </w:rPr>
        <w:t>产品建议在温度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10%，洁净无尘、无悬浮物的环境下使用；建议产品需提前24h从仓储环境转移至喷绘环境；墨水因匹配的设备不同，所以使用前请先测试；建议喷绘时需要留足够白边空隙。</w:t>
      </w:r>
    </w:p>
    <w:p w14:paraId="46214D61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张贴要求：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10%；粘贴于平整、光滑、洁净、表面无浮尘、表皮无脱落的物体表面，贴合必要养护时间需要2小时以上。</w:t>
      </w:r>
    </w:p>
    <w:p w14:paraId="09006D2C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7728E195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存储期：在原始的包装中储存期限为1年；</w:t>
      </w:r>
    </w:p>
    <w:p w14:paraId="0DEB5777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使用期限：未打印画面，自产品生产日期起2年内有效，逾期不接受投诉。</w:t>
      </w:r>
    </w:p>
    <w:p w14:paraId="3BDF79B4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3E4E0D98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INFLEX所有有关材料的说明、技术信息及应用推荐是基于我们认为可信的典型性测试结果，不同国家、地区环境湿度高于70%以上喷绘打印效果有所下降。</w:t>
      </w:r>
    </w:p>
    <w:p w14:paraId="37D38AC2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本产品为高粘性车贴产品，可适应一般粗糙，不光滑及非极性被贴物，如使用在户外墙面，建议先测评胶性。不同批次产品不建议拼接使用。</w:t>
      </w:r>
    </w:p>
    <w:p w14:paraId="4C3F2C10"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079DCBF8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※上海五角场：</w:t>
      </w:r>
    </w:p>
    <w:p w14:paraId="5B60860D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宋体" w:hAnsi="宋体" w:eastAsia="宋体"/>
          <w:sz w:val="18"/>
          <w:szCs w:val="18"/>
        </w:rPr>
        <w:drawing>
          <wp:inline distT="0" distB="0" distL="0" distR="0">
            <wp:extent cx="4635500" cy="3084830"/>
            <wp:effectExtent l="0" t="5715" r="6985" b="6985"/>
            <wp:docPr id="4" name="图片 4" descr="C:\Users\N2098\Desktop\白皮书应用图片 - 副本\室内室外广告应用\高档\IMG_20190909_10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N2098\Desktop\白皮书应用图片 - 副本\室内室外广告应用\高档\IMG_20190909_105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35634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18"/>
          <w:szCs w:val="18"/>
        </w:rPr>
        <w:t xml:space="preserve">  </w:t>
      </w:r>
      <w:r>
        <w:rPr>
          <w:rFonts w:hint="eastAsia" w:ascii="宋体" w:hAnsi="宋体" w:eastAsia="宋体"/>
          <w:sz w:val="18"/>
          <w:szCs w:val="18"/>
        </w:rPr>
        <w:drawing>
          <wp:inline distT="0" distB="0" distL="0" distR="0">
            <wp:extent cx="4627245" cy="3084195"/>
            <wp:effectExtent l="9525" t="0" r="0" b="0"/>
            <wp:docPr id="5" name="图片 5" descr="C:\Users\N2098\Desktop\白皮书应用图片 - 副本\室内室外广告应用\高档\IMG_20190909_10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N2098\Desktop\白皮书应用图片 - 副本\室内室外广告应用\高档\IMG_20190909_105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27624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91B04">
    <w:pPr>
      <w:pStyle w:val="3"/>
    </w:pPr>
    <w:r>
      <w:drawing>
        <wp:inline distT="0" distB="0" distL="0" distR="0">
          <wp:extent cx="6577330" cy="429260"/>
          <wp:effectExtent l="0" t="0" r="0" b="889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584" cy="42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69CDF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141CF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B147F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FB"/>
    <w:rsid w:val="00022055"/>
    <w:rsid w:val="000E3C3F"/>
    <w:rsid w:val="000F0436"/>
    <w:rsid w:val="00157367"/>
    <w:rsid w:val="00171EB9"/>
    <w:rsid w:val="0021323A"/>
    <w:rsid w:val="00270679"/>
    <w:rsid w:val="0031370C"/>
    <w:rsid w:val="0032051C"/>
    <w:rsid w:val="00322832"/>
    <w:rsid w:val="00396D75"/>
    <w:rsid w:val="003E3B8F"/>
    <w:rsid w:val="00466487"/>
    <w:rsid w:val="00513DB2"/>
    <w:rsid w:val="0055733B"/>
    <w:rsid w:val="005E01A2"/>
    <w:rsid w:val="005F0BF2"/>
    <w:rsid w:val="005F6327"/>
    <w:rsid w:val="00621927"/>
    <w:rsid w:val="007809A9"/>
    <w:rsid w:val="007847B1"/>
    <w:rsid w:val="007F1C8F"/>
    <w:rsid w:val="007F6058"/>
    <w:rsid w:val="008201E7"/>
    <w:rsid w:val="008646AB"/>
    <w:rsid w:val="008872C3"/>
    <w:rsid w:val="008B09D7"/>
    <w:rsid w:val="008E2276"/>
    <w:rsid w:val="00904AAE"/>
    <w:rsid w:val="00953E43"/>
    <w:rsid w:val="009A22D4"/>
    <w:rsid w:val="00AB1E91"/>
    <w:rsid w:val="00AB7425"/>
    <w:rsid w:val="00AF792A"/>
    <w:rsid w:val="00B02D39"/>
    <w:rsid w:val="00B85DDF"/>
    <w:rsid w:val="00BC1D18"/>
    <w:rsid w:val="00BD321A"/>
    <w:rsid w:val="00C261BF"/>
    <w:rsid w:val="00C46C6B"/>
    <w:rsid w:val="00C46E52"/>
    <w:rsid w:val="00CB3F6C"/>
    <w:rsid w:val="00D13ADC"/>
    <w:rsid w:val="00D54555"/>
    <w:rsid w:val="00DD4043"/>
    <w:rsid w:val="00DD5808"/>
    <w:rsid w:val="00E348F2"/>
    <w:rsid w:val="00E40E21"/>
    <w:rsid w:val="00E615BD"/>
    <w:rsid w:val="00E67D0D"/>
    <w:rsid w:val="00E861FB"/>
    <w:rsid w:val="00ED11DF"/>
    <w:rsid w:val="00EF6676"/>
    <w:rsid w:val="00F5329B"/>
    <w:rsid w:val="00F6641A"/>
    <w:rsid w:val="00F81D3D"/>
    <w:rsid w:val="00F92B70"/>
    <w:rsid w:val="00FD327B"/>
    <w:rsid w:val="4F640FF8"/>
    <w:rsid w:val="69D3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F63B38-3C28-4BA2-B31D-32DF98FF54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861</Words>
  <Characters>1120</Characters>
  <Lines>8</Lines>
  <Paragraphs>2</Paragraphs>
  <TotalTime>55</TotalTime>
  <ScaleCrop>false</ScaleCrop>
  <LinksUpToDate>false</LinksUpToDate>
  <CharactersWithSpaces>1148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2018-10-16T05:01:00Z</dcterms:created>
  <dc:creator>Qin Yu-秦超(NAR)</dc:creator>
  <cp:lastModifiedBy>006152</cp:lastModifiedBy>
  <cp:lastPrinted>2018-08-20T01:40:00Z</cp:lastPrinted>
  <dcterms:modified xsi:type="dcterms:W3CDTF">2025-07-04T07:39:06Z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92D997E87DEA47CC9C03E98806067B09_13</vt:lpwstr>
  </property>
</Properties>
</file>