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0444F">
      <w:pPr>
        <w:spacing w:line="180" w:lineRule="exact"/>
        <w:rPr>
          <w:rFonts w:ascii="Arial" w:hAnsi="Arial" w:cs="Arial"/>
          <w:b/>
          <w:color w:val="005BAC"/>
          <w:sz w:val="18"/>
          <w:szCs w:val="36"/>
        </w:rPr>
      </w:pPr>
      <w:bookmarkStart w:id="6" w:name="_GoBack"/>
      <w:bookmarkEnd w:id="6"/>
    </w:p>
    <w:p w14:paraId="4DB987C1">
      <w:pPr>
        <w:spacing w:line="0" w:lineRule="atLeast"/>
        <w:rPr>
          <w:rFonts w:ascii="Arial" w:hAnsi="Arial" w:cs="Arial"/>
          <w:b/>
          <w:color w:val="005BAC"/>
          <w:sz w:val="36"/>
          <w:szCs w:val="36"/>
        </w:rPr>
      </w:pPr>
      <w:r>
        <w:rPr>
          <w:rFonts w:ascii="Arial" w:hAnsi="Arial" w:cs="Arial"/>
          <w:b/>
          <w:color w:val="005BAC"/>
          <w:sz w:val="36"/>
          <w:szCs w:val="36"/>
        </w:rPr>
        <w:t>N</w:t>
      </w:r>
      <w:r>
        <w:rPr>
          <w:rFonts w:hint="eastAsia" w:ascii="Arial" w:hAnsi="Arial" w:cs="Arial"/>
          <w:b/>
          <w:color w:val="005BAC"/>
          <w:sz w:val="36"/>
          <w:szCs w:val="36"/>
        </w:rPr>
        <w:t>L4211-RR</w:t>
      </w:r>
    </w:p>
    <w:p w14:paraId="65DAC7D6">
      <w:pPr>
        <w:spacing w:line="320" w:lineRule="exact"/>
        <w:rPr>
          <w:rFonts w:ascii="微软雅黑" w:hAnsi="微软雅黑" w:eastAsia="微软雅黑" w:cs="Arial"/>
          <w:b/>
          <w:color w:val="005BAC"/>
          <w:sz w:val="24"/>
          <w:szCs w:val="24"/>
        </w:rPr>
      </w:pPr>
      <w:r>
        <w:rPr>
          <w:rFonts w:hint="eastAsia" w:ascii="微软雅黑" w:hAnsi="微软雅黑" w:eastAsia="微软雅黑" w:cs="Arial"/>
          <w:b/>
          <w:color w:val="005BAC"/>
          <w:sz w:val="24"/>
          <w:szCs w:val="24"/>
        </w:rPr>
        <w:t>磨砂地板膜-环保</w:t>
      </w:r>
    </w:p>
    <w:p w14:paraId="316C8EB4">
      <w:pPr>
        <w:spacing w:line="320" w:lineRule="exact"/>
        <w:rPr>
          <w:rFonts w:hint="eastAsia" w:ascii="Tahoma" w:hAnsi="Tahoma" w:cs="Tahoma"/>
          <w:sz w:val="18"/>
          <w:szCs w:val="21"/>
        </w:rPr>
      </w:pPr>
    </w:p>
    <w:p w14:paraId="15314199">
      <w:pPr>
        <w:pStyle w:val="11"/>
        <w:rPr>
          <w:rFonts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  <w:t xml:space="preserve">  产品描述： </w:t>
      </w:r>
    </w:p>
    <w:p w14:paraId="1DAE50CB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面膜：200</w:t>
      </w:r>
      <w:r>
        <w:rPr>
          <w:rFonts w:ascii="微软雅黑" w:hAnsi="微软雅黑" w:eastAsia="微软雅黑"/>
          <w:sz w:val="18"/>
          <w:szCs w:val="18"/>
        </w:rPr>
        <w:t xml:space="preserve">micron </w:t>
      </w:r>
      <w:r>
        <w:rPr>
          <w:rFonts w:hint="eastAsia" w:ascii="微软雅黑" w:hAnsi="微软雅黑" w:eastAsia="微软雅黑"/>
          <w:sz w:val="18"/>
          <w:szCs w:val="18"/>
        </w:rPr>
        <w:t>磨砂</w:t>
      </w:r>
      <w:r>
        <w:rPr>
          <w:rFonts w:ascii="微软雅黑" w:hAnsi="微软雅黑" w:eastAsia="微软雅黑"/>
          <w:sz w:val="18"/>
          <w:szCs w:val="18"/>
        </w:rPr>
        <w:t>PVC</w:t>
      </w:r>
      <w:r>
        <w:rPr>
          <w:rFonts w:hint="eastAsia" w:ascii="微软雅黑" w:hAnsi="微软雅黑" w:eastAsia="微软雅黑"/>
          <w:sz w:val="18"/>
          <w:szCs w:val="18"/>
        </w:rPr>
        <w:t>透明膜；</w:t>
      </w:r>
    </w:p>
    <w:p w14:paraId="435E36CA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胶水：永久透明胶</w:t>
      </w:r>
    </w:p>
    <w:p w14:paraId="1068C252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底纸：14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0gsm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单面PEK白硅纸</w:t>
      </w:r>
    </w:p>
    <w:p w14:paraId="1DF37C96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宽幅：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1.06/1.27/1.37/1.5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m</w:t>
      </w:r>
    </w:p>
    <w:p w14:paraId="20FF5432">
      <w:pPr>
        <w:pStyle w:val="11"/>
        <w:rPr>
          <w:rFonts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  <w:t xml:space="preserve">  产品特点： </w:t>
      </w:r>
    </w:p>
    <w:p w14:paraId="7E4DC380">
      <w:pPr>
        <w:autoSpaceDE w:val="0"/>
        <w:autoSpaceDN w:val="0"/>
        <w:adjustRightInd w:val="0"/>
        <w:jc w:val="left"/>
        <w:rPr>
          <w:rFonts w:ascii="微软雅黑" w:hAnsi="微软雅黑" w:eastAsia="微软雅黑" w:cs="Tahoma"/>
          <w:kern w:val="0"/>
          <w:sz w:val="18"/>
          <w:szCs w:val="16"/>
        </w:rPr>
      </w:pPr>
      <w:r>
        <w:rPr>
          <w:rFonts w:hint="eastAsia" w:ascii="微软雅黑" w:hAnsi="微软雅黑" w:eastAsia="微软雅黑" w:cs="Tahoma"/>
          <w:kern w:val="0"/>
          <w:sz w:val="18"/>
          <w:szCs w:val="16"/>
        </w:rPr>
        <w:t>1、透明保护膜，良好的表面平整度和抗收缩性；</w:t>
      </w:r>
    </w:p>
    <w:p w14:paraId="0851EE54">
      <w:pPr>
        <w:autoSpaceDE w:val="0"/>
        <w:autoSpaceDN w:val="0"/>
        <w:adjustRightInd w:val="0"/>
        <w:jc w:val="left"/>
        <w:rPr>
          <w:rFonts w:ascii="微软雅黑" w:hAnsi="微软雅黑" w:eastAsia="微软雅黑" w:cs="Tahoma"/>
          <w:kern w:val="0"/>
          <w:sz w:val="18"/>
          <w:szCs w:val="16"/>
        </w:rPr>
      </w:pPr>
      <w:bookmarkStart w:id="0" w:name="OLE_LINK2"/>
      <w:bookmarkStart w:id="1" w:name="OLE_LINK6"/>
      <w:bookmarkStart w:id="2" w:name="OLE_LINK1"/>
      <w:bookmarkStart w:id="3" w:name="OLE_LINK5"/>
      <w:bookmarkStart w:id="4" w:name="OLE_LINK3"/>
      <w:bookmarkStart w:id="5" w:name="OLE_LINK4"/>
      <w:r>
        <w:rPr>
          <w:rFonts w:hint="eastAsia" w:ascii="微软雅黑" w:hAnsi="微软雅黑" w:eastAsia="微软雅黑" w:cs="Tahoma"/>
          <w:kern w:val="0"/>
          <w:sz w:val="18"/>
          <w:szCs w:val="16"/>
        </w:rPr>
        <w:t>2、</w:t>
      </w:r>
      <w:bookmarkEnd w:id="0"/>
      <w:bookmarkEnd w:id="1"/>
      <w:bookmarkEnd w:id="2"/>
      <w:bookmarkEnd w:id="3"/>
      <w:bookmarkEnd w:id="4"/>
      <w:bookmarkEnd w:id="5"/>
      <w:r>
        <w:rPr>
          <w:rFonts w:hint="eastAsia" w:ascii="微软雅黑" w:hAnsi="微软雅黑" w:eastAsia="微软雅黑" w:cs="Tahoma"/>
          <w:kern w:val="0"/>
          <w:sz w:val="18"/>
          <w:szCs w:val="16"/>
        </w:rPr>
        <w:t>主要应用于广告画面覆膜，保护图片、增强图片艺术效果；</w:t>
      </w:r>
    </w:p>
    <w:p w14:paraId="4A30C47D">
      <w:pPr>
        <w:pStyle w:val="12"/>
        <w:numPr>
          <w:ilvl w:val="0"/>
          <w:numId w:val="1"/>
        </w:numPr>
        <w:autoSpaceDE w:val="0"/>
        <w:autoSpaceDN w:val="0"/>
        <w:adjustRightInd w:val="0"/>
        <w:ind w:firstLineChars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Tahoma"/>
          <w:kern w:val="0"/>
          <w:sz w:val="18"/>
          <w:szCs w:val="16"/>
        </w:rPr>
        <w:t>通过REACH(NO 1907/2006)、RoSH2.0认证，符合欧盟环保要求；</w:t>
      </w:r>
    </w:p>
    <w:p w14:paraId="4BEEBD2F">
      <w:pPr>
        <w:pStyle w:val="12"/>
        <w:numPr>
          <w:ilvl w:val="0"/>
          <w:numId w:val="1"/>
        </w:numPr>
        <w:autoSpaceDE w:val="0"/>
        <w:autoSpaceDN w:val="0"/>
        <w:adjustRightInd w:val="0"/>
        <w:ind w:firstLineChars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Tahoma"/>
          <w:kern w:val="0"/>
          <w:sz w:val="18"/>
          <w:szCs w:val="16"/>
        </w:rPr>
        <w:t>延长画面的饱和度时间，易于画面清洁。</w:t>
      </w:r>
    </w:p>
    <w:p w14:paraId="20DCA2BF">
      <w:pPr>
        <w:pStyle w:val="11"/>
        <w:rPr>
          <w:rFonts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  <w:t xml:space="preserve">  产品应用： </w:t>
      </w:r>
    </w:p>
    <w:p w14:paraId="4B5C37BA">
      <w:pPr>
        <w:rPr>
          <w:rFonts w:ascii="微软雅黑" w:hAnsi="微软雅黑" w:eastAsia="微软雅黑"/>
          <w:sz w:val="18"/>
        </w:rPr>
      </w:pPr>
      <w:r>
        <w:rPr>
          <w:rFonts w:hint="eastAsia" w:ascii="微软雅黑" w:hAnsi="微软雅黑" w:eastAsia="微软雅黑"/>
          <w:sz w:val="18"/>
        </w:rPr>
        <w:t>产品主要适用于画面保护（如：广告画面覆膜，照片覆膜，画面冷裱等）。</w:t>
      </w:r>
    </w:p>
    <w:p w14:paraId="2BD2B935">
      <w:pPr>
        <w:pStyle w:val="11"/>
        <w:rPr>
          <w:rFonts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  <w:t xml:space="preserve">  技术参数： </w:t>
      </w:r>
    </w:p>
    <w:p w14:paraId="4E17E98A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测试条件：室内温度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23±2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℃、相对湿度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50±5%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，以铝板、玻璃、钢板作为基材测试。</w:t>
      </w:r>
    </w:p>
    <w:tbl>
      <w:tblPr>
        <w:tblStyle w:val="10"/>
        <w:tblW w:w="6805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0"/>
        <w:gridCol w:w="1147"/>
        <w:gridCol w:w="2032"/>
        <w:gridCol w:w="1566"/>
      </w:tblGrid>
      <w:tr w14:paraId="51B9008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20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  <w:shd w:val="clear" w:color="auto" w:fill="auto"/>
          </w:tcPr>
          <w:p w14:paraId="06673152">
            <w:pPr>
              <w:spacing w:before="0" w:beforeLines="0" w:beforeAutospacing="0" w:after="0" w:afterLines="0" w:afterAutospacing="0" w:line="240" w:lineRule="auto"/>
              <w:ind w:firstLine="320"/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auto"/>
                <w:kern w:val="0"/>
                <w:sz w:val="16"/>
                <w:szCs w:val="18"/>
              </w:rPr>
              <w:t>指标</w:t>
            </w:r>
          </w:p>
        </w:tc>
        <w:tc>
          <w:tcPr>
            <w:tcW w:w="1147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  <w:shd w:val="clear" w:color="auto" w:fill="auto"/>
          </w:tcPr>
          <w:p w14:paraId="3FDBD6A1"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auto"/>
                <w:kern w:val="0"/>
                <w:sz w:val="16"/>
                <w:szCs w:val="18"/>
              </w:rPr>
              <w:t>单位</w:t>
            </w:r>
          </w:p>
        </w:tc>
        <w:tc>
          <w:tcPr>
            <w:tcW w:w="2032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  <w:shd w:val="clear" w:color="auto" w:fill="auto"/>
          </w:tcPr>
          <w:p w14:paraId="6FC5AF09"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auto"/>
                <w:kern w:val="0"/>
                <w:sz w:val="16"/>
                <w:szCs w:val="18"/>
              </w:rPr>
              <w:t>测试方法</w:t>
            </w:r>
          </w:p>
        </w:tc>
        <w:tc>
          <w:tcPr>
            <w:tcW w:w="1566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  <w:shd w:val="clear" w:color="auto" w:fill="auto"/>
          </w:tcPr>
          <w:p w14:paraId="0DD8D03A"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auto"/>
                <w:kern w:val="0"/>
                <w:sz w:val="16"/>
                <w:szCs w:val="18"/>
              </w:rPr>
              <w:t>标准</w:t>
            </w:r>
          </w:p>
        </w:tc>
      </w:tr>
      <w:tr w14:paraId="2F1E0DA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1" w:hRule="atLeast"/>
        </w:trPr>
        <w:tc>
          <w:tcPr>
            <w:tcW w:w="2060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</w:tcBorders>
            <w:shd w:val="clear" w:color="auto" w:fill="auto"/>
          </w:tcPr>
          <w:p w14:paraId="41565BD7">
            <w:pPr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  <w:t>PVC 膜厚度</w:t>
            </w:r>
          </w:p>
          <w:p w14:paraId="290E194E">
            <w:pPr>
              <w:rPr>
                <w:rFonts w:ascii="Tahoma" w:hAnsi="Tahoma" w:eastAsia="宋体" w:cs="Tahoma"/>
                <w:b/>
                <w:bCs w:val="0"/>
                <w:color w:val="auto"/>
                <w:kern w:val="0"/>
                <w:sz w:val="16"/>
                <w:szCs w:val="18"/>
              </w:rPr>
            </w:pPr>
            <w:r>
              <w:rPr>
                <w:rFonts w:hint="eastAsia"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  <w:t>底纸克重</w:t>
            </w:r>
          </w:p>
          <w:p w14:paraId="1CED82C8">
            <w:pPr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  <w:t>成品重量</w:t>
            </w:r>
          </w:p>
          <w:p w14:paraId="5EBEE408">
            <w:pPr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  <w:t>初粘力</w:t>
            </w:r>
          </w:p>
          <w:p w14:paraId="5C3EFBA5">
            <w:pPr>
              <w:rPr>
                <w:rFonts w:ascii="Tahoma" w:hAnsi="Tahoma" w:eastAsia="宋体" w:cs="Tahoma"/>
                <w:b/>
                <w:bCs w:val="0"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  <w:t>24h，180°剥离力</w:t>
            </w:r>
          </w:p>
          <w:p w14:paraId="7748C2A1">
            <w:pPr>
              <w:rPr>
                <w:rFonts w:ascii="Tahoma" w:hAnsi="Tahoma" w:eastAsia="宋体" w:cs="Tahoma"/>
                <w:b/>
                <w:bCs w:val="0"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  <w:t>尺寸稳定性MD</w:t>
            </w:r>
          </w:p>
          <w:p w14:paraId="3D5F8496">
            <w:pPr>
              <w:rPr>
                <w:rFonts w:ascii="Tahoma" w:hAnsi="Tahoma" w:eastAsia="宋体" w:cs="Tahoma"/>
                <w:b/>
                <w:bCs w:val="0"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  <w:t>尺寸稳定性CD</w:t>
            </w:r>
          </w:p>
          <w:p w14:paraId="146E5020">
            <w:pPr>
              <w:rPr>
                <w:rFonts w:ascii="Tahoma" w:hAnsi="Tahoma" w:eastAsia="宋体" w:cs="Tahoma"/>
                <w:b/>
                <w:bCs w:val="0"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  <w:t>拉伸强度 MD</w:t>
            </w:r>
          </w:p>
          <w:p w14:paraId="6704A919">
            <w:pPr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  <w:t>拉伸强度 CD</w:t>
            </w:r>
          </w:p>
          <w:p w14:paraId="38D81D3E">
            <w:pPr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  <w:t>施工温度</w:t>
            </w:r>
          </w:p>
          <w:p w14:paraId="55E6A259">
            <w:pPr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auto"/>
                <w:kern w:val="0"/>
                <w:sz w:val="16"/>
                <w:szCs w:val="18"/>
              </w:rPr>
              <w:t>适用温度</w:t>
            </w:r>
          </w:p>
        </w:tc>
        <w:tc>
          <w:tcPr>
            <w:tcW w:w="1147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</w:tcBorders>
            <w:shd w:val="clear" w:color="auto" w:fill="auto"/>
          </w:tcPr>
          <w:p w14:paraId="0BEF0D79">
            <w:pPr>
              <w:rPr>
                <w:rFonts w:ascii="Times New Roman" w:hAnsi="Times New Roman" w:eastAsia="宋体" w:cs="Times New Roman"/>
                <w:bCs/>
                <w:color w:val="auto"/>
                <w:kern w:val="0"/>
                <w:sz w:val="16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kern w:val="0"/>
                <w:sz w:val="16"/>
                <w:szCs w:val="20"/>
              </w:rPr>
              <w:t>Micron</w:t>
            </w:r>
          </w:p>
          <w:p w14:paraId="6CE485F7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g/m²</w:t>
            </w:r>
          </w:p>
          <w:p w14:paraId="15F4389D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g/m²</w:t>
            </w:r>
          </w:p>
          <w:p w14:paraId="552C9775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N/25mm</w:t>
            </w:r>
          </w:p>
          <w:p w14:paraId="2ABB34BA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N/25mm</w:t>
            </w:r>
          </w:p>
          <w:p w14:paraId="6AE29983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mm</w:t>
            </w:r>
          </w:p>
          <w:p w14:paraId="12281D8B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mm</w:t>
            </w:r>
          </w:p>
          <w:p w14:paraId="28022727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N/25 mm</w:t>
            </w:r>
          </w:p>
          <w:p w14:paraId="75A4CBD8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N/25 mm</w:t>
            </w:r>
          </w:p>
          <w:p w14:paraId="4E2D2503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16"/>
                <w:szCs w:val="18"/>
              </w:rPr>
              <w:t>℃</w:t>
            </w:r>
          </w:p>
          <w:p w14:paraId="34F1D48F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16"/>
                <w:szCs w:val="18"/>
              </w:rPr>
              <w:t>℃</w:t>
            </w:r>
          </w:p>
        </w:tc>
        <w:tc>
          <w:tcPr>
            <w:tcW w:w="2032" w:type="dxa"/>
            <w:tcBorders>
              <w:top w:val="single" w:color="000000" w:themeColor="text1" w:sz="8" w:space="0"/>
              <w:bottom w:val="single" w:color="000000" w:themeColor="text1" w:sz="8" w:space="0"/>
              <w:right w:val="nil"/>
            </w:tcBorders>
            <w:shd w:val="clear" w:color="auto" w:fill="auto"/>
          </w:tcPr>
          <w:p w14:paraId="3C743E14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GB/T6672-2001</w:t>
            </w:r>
          </w:p>
          <w:p w14:paraId="527E4DB8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GB4669-1995</w:t>
            </w:r>
          </w:p>
          <w:p w14:paraId="52787E7C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GB4669-1995</w:t>
            </w:r>
          </w:p>
          <w:p w14:paraId="73993170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9</w:t>
            </w:r>
          </w:p>
          <w:p w14:paraId="570A8016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1</w:t>
            </w:r>
          </w:p>
          <w:p w14:paraId="48E0A322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14</w:t>
            </w:r>
          </w:p>
          <w:p w14:paraId="6CDF32B4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 xml:space="preserve">14   </w:t>
            </w:r>
          </w:p>
          <w:p w14:paraId="49A91E0C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GB/T1040.1-2006</w:t>
            </w:r>
          </w:p>
          <w:p w14:paraId="77F29988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GB/T1040.1-2006</w:t>
            </w:r>
          </w:p>
          <w:p w14:paraId="30F8FB2E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</w:p>
        </w:tc>
        <w:tc>
          <w:tcPr>
            <w:tcW w:w="1566" w:type="dxa"/>
            <w:tcBorders>
              <w:top w:val="single" w:color="000000" w:themeColor="text1" w:sz="8" w:space="0"/>
              <w:bottom w:val="single" w:color="000000" w:themeColor="text1" w:sz="8" w:space="0"/>
              <w:right w:val="nil"/>
            </w:tcBorders>
            <w:shd w:val="clear" w:color="auto" w:fill="auto"/>
          </w:tcPr>
          <w:p w14:paraId="5AC8E874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200</w:t>
            </w: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±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10</w:t>
            </w:r>
          </w:p>
          <w:p w14:paraId="688A94B0">
            <w:pPr>
              <w:rPr>
                <w:rFonts w:ascii="Tahoma" w:hAnsi="Tahoma" w:eastAsia="宋体" w:cs="Tahoma"/>
                <w:b/>
                <w:color w:val="auto"/>
                <w:kern w:val="0"/>
                <w:sz w:val="16"/>
                <w:szCs w:val="18"/>
              </w:rPr>
            </w:pP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140</w:t>
            </w: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±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10</w:t>
            </w:r>
          </w:p>
          <w:p w14:paraId="27770905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380</w:t>
            </w: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±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3</w:t>
            </w: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0</w:t>
            </w:r>
          </w:p>
          <w:p w14:paraId="1CA1B992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5</w:t>
            </w:r>
          </w:p>
          <w:p w14:paraId="0358C4B9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10</w:t>
            </w:r>
          </w:p>
          <w:p w14:paraId="7F7FA6E6">
            <w:pPr>
              <w:rPr>
                <w:rFonts w:ascii="Tahoma" w:hAnsi="Tahoma" w:eastAsia="宋体" w:cs="Tahoma"/>
                <w:b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≤1.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8</w:t>
            </w:r>
          </w:p>
          <w:p w14:paraId="5F32C083">
            <w:pPr>
              <w:rPr>
                <w:rFonts w:ascii="Tahoma" w:hAnsi="Tahoma" w:eastAsia="宋体" w:cs="Tahoma"/>
                <w:b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≤1.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5</w:t>
            </w:r>
          </w:p>
          <w:p w14:paraId="39103E47">
            <w:pPr>
              <w:rPr>
                <w:rFonts w:ascii="Tahoma" w:hAnsi="Tahoma" w:eastAsia="宋体" w:cs="Tahoma"/>
                <w:b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60</w:t>
            </w:r>
          </w:p>
          <w:p w14:paraId="3F31F7B8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70</w:t>
            </w:r>
          </w:p>
          <w:p w14:paraId="7AF92415">
            <w:pPr>
              <w:rPr>
                <w:rFonts w:ascii="Tahoma" w:hAnsi="Tahoma" w:eastAsia="宋体" w:cs="Tahoma"/>
                <w:color w:val="auto"/>
                <w:kern w:val="0"/>
                <w:sz w:val="16"/>
                <w:szCs w:val="20"/>
              </w:rPr>
            </w:pPr>
            <w:r>
              <w:rPr>
                <w:rFonts w:ascii="Tahoma" w:hAnsi="Tahoma" w:eastAsia="宋体" w:cs="Tahoma"/>
                <w:color w:val="auto"/>
                <w:kern w:val="0"/>
                <w:sz w:val="16"/>
                <w:szCs w:val="20"/>
              </w:rPr>
              <w:t>20±10</w:t>
            </w:r>
          </w:p>
          <w:p w14:paraId="42EA3C74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-</w:t>
            </w: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20～+70</w:t>
            </w:r>
          </w:p>
        </w:tc>
      </w:tr>
    </w:tbl>
    <w:p w14:paraId="2EFF7007"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  <w:t>*以上所有参数的变更恕不另行通知</w:t>
      </w:r>
    </w:p>
    <w:p w14:paraId="18798FA4">
      <w:pPr>
        <w:pStyle w:val="11"/>
        <w:rPr>
          <w:rFonts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  <w:t xml:space="preserve">  仓储条件： </w:t>
      </w:r>
    </w:p>
    <w:p w14:paraId="0A884AEB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所有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NAR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的产品需储放在原始包装中用原始的保护材料，建议密封保存，水平放置，叠放层高不宜超过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层，避免阳光直射、热源直接接触。仓储温度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25±5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℃、相对湿度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50±15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。在这种条件下，该产品储存期是</w:t>
      </w:r>
      <w:r>
        <w:rPr>
          <w:rFonts w:hint="eastAsia" w:ascii="微软雅黑" w:hAnsi="微软雅黑" w:eastAsia="微软雅黑"/>
          <w:color w:val="000000" w:themeColor="text1"/>
          <w:sz w:val="18"/>
          <w14:textFill>
            <w14:solidFill>
              <w14:schemeClr w14:val="tx1"/>
            </w14:solidFill>
          </w14:textFill>
        </w:rPr>
        <w:t>一年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</w:t>
      </w:r>
    </w:p>
    <w:p w14:paraId="29AEBFA9">
      <w:pPr>
        <w:pStyle w:val="11"/>
        <w:rPr>
          <w:rFonts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  <w:t xml:space="preserve">  打印制作要求： </w:t>
      </w:r>
    </w:p>
    <w:p w14:paraId="2FFB8944">
      <w:pPr>
        <w:pStyle w:val="11"/>
        <w:rPr>
          <w:rFonts w:ascii="微软雅黑" w:hAnsi="微软雅黑" w:eastAsia="微软雅黑"/>
          <w:sz w:val="18"/>
        </w:rPr>
      </w:pPr>
      <w:r>
        <w:rPr>
          <w:rFonts w:hint="eastAsia" w:ascii="微软雅黑" w:hAnsi="微软雅黑" w:eastAsia="微软雅黑"/>
          <w:sz w:val="18"/>
        </w:rPr>
        <w:t>制作环境：</w:t>
      </w:r>
      <w:r>
        <w:rPr>
          <w:rFonts w:hint="eastAsia" w:ascii="微软雅黑" w:hAnsi="微软雅黑" w:eastAsia="微软雅黑" w:cstheme="minorHAnsi"/>
          <w:color w:val="000000" w:themeColor="text1"/>
          <w:sz w:val="18"/>
          <w14:textFill>
            <w14:solidFill>
              <w14:schemeClr w14:val="tx1"/>
            </w14:solidFill>
          </w14:textFill>
        </w:rPr>
        <w:t>NAR</w:t>
      </w:r>
      <w:r>
        <w:rPr>
          <w:rFonts w:hint="eastAsia" w:ascii="微软雅黑" w:hAnsi="微软雅黑" w:eastAsia="微软雅黑"/>
          <w:color w:val="000000" w:themeColor="text1"/>
          <w:sz w:val="18"/>
          <w14:textFill>
            <w14:solidFill>
              <w14:schemeClr w14:val="tx1"/>
            </w14:solidFill>
          </w14:textFill>
        </w:rPr>
        <w:t>产品建议在温度</w:t>
      </w:r>
      <w:r>
        <w:rPr>
          <w:rFonts w:ascii="微软雅黑" w:hAnsi="微软雅黑" w:eastAsia="微软雅黑" w:cs="Calibri"/>
          <w:color w:val="000000" w:themeColor="text1"/>
          <w:sz w:val="1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 w:cs="Calibri"/>
          <w:color w:val="000000" w:themeColor="text1"/>
          <w:sz w:val="18"/>
          <w14:textFill>
            <w14:solidFill>
              <w14:schemeClr w14:val="tx1"/>
            </w14:solidFill>
          </w14:textFill>
        </w:rPr>
        <w:t>5</w:t>
      </w:r>
      <w:r>
        <w:rPr>
          <w:rFonts w:ascii="微软雅黑" w:hAnsi="微软雅黑" w:eastAsia="微软雅黑" w:cs="Calibri"/>
          <w:color w:val="000000" w:themeColor="text1"/>
          <w:sz w:val="18"/>
          <w14:textFill>
            <w14:solidFill>
              <w14:schemeClr w14:val="tx1"/>
            </w14:solidFill>
          </w14:textFill>
        </w:rPr>
        <w:t>±</w:t>
      </w:r>
      <w:r>
        <w:rPr>
          <w:rFonts w:hint="eastAsia" w:ascii="微软雅黑" w:hAnsi="微软雅黑" w:eastAsia="微软雅黑" w:cs="Calibri"/>
          <w:color w:val="000000" w:themeColor="text1"/>
          <w:sz w:val="18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微软雅黑" w:hAnsi="微软雅黑" w:eastAsia="微软雅黑"/>
          <w:color w:val="000000" w:themeColor="text1"/>
          <w:sz w:val="18"/>
          <w14:textFill>
            <w14:solidFill>
              <w14:schemeClr w14:val="tx1"/>
            </w14:solidFill>
          </w14:textFill>
        </w:rPr>
        <w:t>℃，相对湿度为</w:t>
      </w:r>
      <w:r>
        <w:rPr>
          <w:rFonts w:hint="eastAsia" w:ascii="微软雅黑" w:hAnsi="微软雅黑" w:eastAsia="微软雅黑" w:cs="Calibri"/>
          <w:color w:val="000000" w:themeColor="text1"/>
          <w:sz w:val="18"/>
          <w14:textFill>
            <w14:solidFill>
              <w14:schemeClr w14:val="tx1"/>
            </w14:solidFill>
          </w14:textFill>
        </w:rPr>
        <w:t>50</w:t>
      </w:r>
      <w:r>
        <w:rPr>
          <w:rFonts w:ascii="微软雅黑" w:hAnsi="微软雅黑" w:eastAsia="微软雅黑" w:cs="Calibri"/>
          <w:color w:val="000000" w:themeColor="text1"/>
          <w:sz w:val="18"/>
          <w14:textFill>
            <w14:solidFill>
              <w14:schemeClr w14:val="tx1"/>
            </w14:solidFill>
          </w14:textFill>
        </w:rPr>
        <w:t>±</w:t>
      </w:r>
      <w:r>
        <w:rPr>
          <w:rFonts w:hint="eastAsia" w:ascii="微软雅黑" w:hAnsi="微软雅黑" w:eastAsia="微软雅黑" w:cs="Calibri"/>
          <w:color w:val="000000" w:themeColor="text1"/>
          <w:sz w:val="18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微软雅黑" w:hAnsi="微软雅黑" w:eastAsia="微软雅黑"/>
          <w:color w:val="000000" w:themeColor="text1"/>
          <w:sz w:val="18"/>
          <w14:textFill>
            <w14:solidFill>
              <w14:schemeClr w14:val="tx1"/>
            </w14:solidFill>
          </w14:textFill>
        </w:rPr>
        <w:t>%，洁净无尘、无悬浮物的环境下使用；</w:t>
      </w:r>
      <w:r>
        <w:rPr>
          <w:rFonts w:hint="eastAsia" w:ascii="微软雅黑" w:hAnsi="微软雅黑" w:eastAsia="微软雅黑"/>
          <w:sz w:val="18"/>
        </w:rPr>
        <w:t>待被裱物喷绘油墨完全干燥后，再进行冷裱等施工操作。</w:t>
      </w:r>
    </w:p>
    <w:p w14:paraId="5FCDCB7F">
      <w:pPr>
        <w:rPr>
          <w:rFonts w:ascii="微软雅黑" w:hAnsi="微软雅黑" w:eastAsia="微软雅黑"/>
          <w:color w:val="000000" w:themeColor="text1"/>
          <w:sz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14:textFill>
            <w14:solidFill>
              <w14:schemeClr w14:val="tx1"/>
            </w14:solidFill>
          </w14:textFill>
        </w:rPr>
        <w:t>张贴要求：</w:t>
      </w:r>
      <w:r>
        <w:rPr>
          <w:rFonts w:ascii="微软雅黑" w:hAnsi="微软雅黑" w:eastAsia="微软雅黑" w:cs="Calibri"/>
          <w:color w:val="000000" w:themeColor="text1"/>
          <w:sz w:val="1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 w:cs="Calibri"/>
          <w:color w:val="000000" w:themeColor="text1"/>
          <w:sz w:val="18"/>
          <w14:textFill>
            <w14:solidFill>
              <w14:schemeClr w14:val="tx1"/>
            </w14:solidFill>
          </w14:textFill>
        </w:rPr>
        <w:t>0</w:t>
      </w:r>
      <w:r>
        <w:rPr>
          <w:rFonts w:ascii="微软雅黑" w:hAnsi="微软雅黑" w:eastAsia="微软雅黑" w:cs="Calibri"/>
          <w:color w:val="000000" w:themeColor="text1"/>
          <w:sz w:val="18"/>
          <w14:textFill>
            <w14:solidFill>
              <w14:schemeClr w14:val="tx1"/>
            </w14:solidFill>
          </w14:textFill>
        </w:rPr>
        <w:t>±</w:t>
      </w:r>
      <w:r>
        <w:rPr>
          <w:rFonts w:hint="eastAsia" w:ascii="微软雅黑" w:hAnsi="微软雅黑" w:eastAsia="微软雅黑" w:cs="Calibri"/>
          <w:color w:val="000000" w:themeColor="text1"/>
          <w:sz w:val="18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微软雅黑" w:hAnsi="微软雅黑" w:eastAsia="微软雅黑"/>
          <w:color w:val="000000" w:themeColor="text1"/>
          <w:sz w:val="18"/>
          <w14:textFill>
            <w14:solidFill>
              <w14:schemeClr w14:val="tx1"/>
            </w14:solidFill>
          </w14:textFill>
        </w:rPr>
        <w:t>℃，相对湿度为</w:t>
      </w:r>
      <w:r>
        <w:rPr>
          <w:rFonts w:hint="eastAsia" w:ascii="微软雅黑" w:hAnsi="微软雅黑" w:eastAsia="微软雅黑" w:cs="Calibri"/>
          <w:color w:val="000000" w:themeColor="text1"/>
          <w:sz w:val="18"/>
          <w14:textFill>
            <w14:solidFill>
              <w14:schemeClr w14:val="tx1"/>
            </w14:solidFill>
          </w14:textFill>
        </w:rPr>
        <w:t>50</w:t>
      </w:r>
      <w:r>
        <w:rPr>
          <w:rFonts w:ascii="微软雅黑" w:hAnsi="微软雅黑" w:eastAsia="微软雅黑" w:cs="Calibri"/>
          <w:color w:val="000000" w:themeColor="text1"/>
          <w:sz w:val="18"/>
          <w14:textFill>
            <w14:solidFill>
              <w14:schemeClr w14:val="tx1"/>
            </w14:solidFill>
          </w14:textFill>
        </w:rPr>
        <w:t>±</w:t>
      </w:r>
      <w:r>
        <w:rPr>
          <w:rFonts w:hint="eastAsia" w:ascii="微软雅黑" w:hAnsi="微软雅黑" w:eastAsia="微软雅黑" w:cs="Calibri"/>
          <w:color w:val="000000" w:themeColor="text1"/>
          <w:sz w:val="18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微软雅黑" w:hAnsi="微软雅黑" w:eastAsia="微软雅黑"/>
          <w:color w:val="000000" w:themeColor="text1"/>
          <w:sz w:val="18"/>
          <w14:textFill>
            <w14:solidFill>
              <w14:schemeClr w14:val="tx1"/>
            </w14:solidFill>
          </w14:textFill>
        </w:rPr>
        <w:t>%；粘贴于平整、光滑、洁净、表面无浮尘、表皮无脱落的物体表面，贴合必要养护时间需要2小时以上。</w:t>
      </w:r>
    </w:p>
    <w:p w14:paraId="7504A026">
      <w:pPr>
        <w:pStyle w:val="11"/>
        <w:rPr>
          <w:rFonts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  <w:t xml:space="preserve">  质保条件： </w:t>
      </w:r>
    </w:p>
    <w:p w14:paraId="4D80C9EA">
      <w:pPr>
        <w:rPr>
          <w:rFonts w:ascii="微软雅黑" w:hAnsi="微软雅黑" w:eastAsia="微软雅黑"/>
          <w:color w:val="000000" w:themeColor="text1"/>
          <w:sz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14:textFill>
            <w14:solidFill>
              <w14:schemeClr w14:val="tx1"/>
            </w14:solidFill>
          </w14:textFill>
        </w:rPr>
        <w:t>1、保质期为一年：</w:t>
      </w:r>
      <w:r>
        <w:rPr>
          <w:rFonts w:hint="eastAsia" w:ascii="微软雅黑" w:hAnsi="微软雅黑" w:eastAsia="微软雅黑"/>
          <w:color w:val="000000" w:themeColor="text1"/>
          <w:kern w:val="0"/>
          <w:sz w:val="18"/>
          <w14:textFill>
            <w14:solidFill>
              <w14:schemeClr w14:val="tx1"/>
            </w14:solidFill>
          </w14:textFill>
        </w:rPr>
        <w:t>冷裱膜</w:t>
      </w:r>
      <w:r>
        <w:rPr>
          <w:rFonts w:hint="eastAsia" w:ascii="微软雅黑" w:hAnsi="微软雅黑" w:eastAsia="微软雅黑"/>
          <w:color w:val="000000" w:themeColor="text1"/>
          <w:sz w:val="18"/>
          <w14:textFill>
            <w14:solidFill>
              <w14:schemeClr w14:val="tx1"/>
            </w14:solidFill>
          </w14:textFill>
        </w:rPr>
        <w:t>产品需满足仓储条件，半年内使用最佳。</w:t>
      </w:r>
    </w:p>
    <w:p w14:paraId="60CEF670">
      <w:pPr>
        <w:pStyle w:val="11"/>
        <w:rPr>
          <w:rFonts w:ascii="微软雅黑" w:hAnsi="微软雅黑" w:eastAsia="微软雅黑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14:textFill>
            <w14:solidFill>
              <w14:schemeClr w14:val="tx1"/>
            </w14:solidFill>
          </w14:textFill>
        </w:rPr>
        <w:t>2、追诉期：自产品生产之日起一年内，逾期不接受投诉。</w:t>
      </w:r>
    </w:p>
    <w:p w14:paraId="7ED11E1F">
      <w:pPr>
        <w:pStyle w:val="11"/>
        <w:rPr>
          <w:rFonts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  <w:t xml:space="preserve">  重要备注： </w:t>
      </w:r>
    </w:p>
    <w:p w14:paraId="377D79A2">
      <w:pPr>
        <w:rPr>
          <w:rFonts w:ascii="微软雅黑" w:hAnsi="微软雅黑" w:eastAsia="微软雅黑"/>
          <w:sz w:val="18"/>
        </w:rPr>
      </w:pPr>
      <w:r>
        <w:rPr>
          <w:rFonts w:hint="eastAsia" w:ascii="微软雅黑" w:hAnsi="微软雅黑" w:eastAsia="微软雅黑"/>
          <w:sz w:val="18"/>
        </w:rPr>
        <w:t>NAR所有有关材料的说明、技术信息及应用推荐是基于我们认为可信的典型性测试结果，信息描述的是一个平均值、最小或最大值，且应当考虑仅供参考，不做任何担保。所有NAR公司的产品的售出均应由终端客户在最终环境下进行测试，以确认是否符合该使用环境的要求，确定选择购买何种材料。</w:t>
      </w:r>
    </w:p>
    <w:p w14:paraId="63B004C1">
      <w:pPr>
        <w:autoSpaceDE w:val="0"/>
        <w:autoSpaceDN w:val="0"/>
        <w:jc w:val="left"/>
        <w:rPr>
          <w:rFonts w:ascii="宋体" w:hAnsi="宋体" w:cs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FFFFFF" w:themeColor="background1"/>
          <w:shd w:val="clear" w:color="auto" w:fill="005BAC"/>
          <w14:textFill>
            <w14:solidFill>
              <w14:schemeClr w14:val="bg1"/>
            </w14:solidFill>
          </w14:textFill>
        </w:rPr>
        <w:t xml:space="preserve"> </w:t>
      </w:r>
      <w:r>
        <w:rPr>
          <w:rFonts w:hint="eastAsia" w:ascii="微软雅黑" w:hAnsi="微软雅黑" w:eastAsia="微软雅黑"/>
          <w:b/>
          <w:color w:val="FFFFFF" w:themeColor="background1"/>
          <w:sz w:val="24"/>
          <w:shd w:val="clear" w:color="auto" w:fill="005BAC"/>
          <w14:textFill>
            <w14:solidFill>
              <w14:schemeClr w14:val="bg1"/>
            </w14:solidFill>
          </w14:textFill>
        </w:rPr>
        <w:t xml:space="preserve"> 产品应用：</w:t>
      </w:r>
    </w:p>
    <w:p w14:paraId="72B35633"/>
    <w:p w14:paraId="5DD10539"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720" w:right="720" w:bottom="567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5386E">
    <w:pPr>
      <w:pStyle w:val="3"/>
    </w:pPr>
    <w:r>
      <w:drawing>
        <wp:inline distT="0" distB="0" distL="0" distR="0">
          <wp:extent cx="6592570" cy="88265"/>
          <wp:effectExtent l="0" t="0" r="0" b="6985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2837" cy="88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54699">
    <w:pPr>
      <w:pStyle w:val="4"/>
    </w:pPr>
    <w:r>
      <w:pict>
        <v:shape id="WordPictureWatermark9255775" o:spid="_x0000_s2060" o:spt="75" type="#_x0000_t75" style="position:absolute;left:0pt;height:188.75pt;width:398.7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纳尔logo英文"/>
          <o:lock v:ext="edit" aspectratio="t"/>
        </v:shape>
      </w:pict>
    </w:r>
    <w:r>
      <w:drawing>
        <wp:inline distT="0" distB="0" distL="0" distR="0">
          <wp:extent cx="6583680" cy="423545"/>
          <wp:effectExtent l="0" t="0" r="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93" cy="423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464D0A">
    <w:pPr>
      <w:pStyle w:val="4"/>
    </w:pPr>
    <w:r>
      <w:pict>
        <v:shape id="WordPictureWatermark9255774" o:spid="_x0000_s2059" o:spt="75" type="#_x0000_t75" style="position:absolute;left:0pt;height:188.75pt;width:398.7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纳尔logo英文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B260E">
    <w:pPr>
      <w:pStyle w:val="4"/>
    </w:pPr>
    <w:r>
      <w:pict>
        <v:shape id="WordPictureWatermark9255773" o:spid="_x0000_s2058" o:spt="75" type="#_x0000_t75" style="position:absolute;left:0pt;height:188.75pt;width:398.7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纳尔logo英文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DD4AA0"/>
    <w:multiLevelType w:val="multilevel"/>
    <w:tmpl w:val="37DD4AA0"/>
    <w:lvl w:ilvl="0" w:tentative="0">
      <w:start w:val="3"/>
      <w:numFmt w:val="decimal"/>
      <w:lvlText w:val="%1、"/>
      <w:lvlJc w:val="left"/>
      <w:pPr>
        <w:ind w:left="360" w:hanging="360"/>
      </w:pPr>
      <w:rPr>
        <w:rFonts w:cstheme="minorBid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1FB"/>
    <w:rsid w:val="00052DF1"/>
    <w:rsid w:val="00053653"/>
    <w:rsid w:val="00096D7E"/>
    <w:rsid w:val="000F23B4"/>
    <w:rsid w:val="00105465"/>
    <w:rsid w:val="00157F44"/>
    <w:rsid w:val="001F208A"/>
    <w:rsid w:val="00287969"/>
    <w:rsid w:val="00292D99"/>
    <w:rsid w:val="00297A55"/>
    <w:rsid w:val="002A6999"/>
    <w:rsid w:val="0030281E"/>
    <w:rsid w:val="00315FCF"/>
    <w:rsid w:val="00347532"/>
    <w:rsid w:val="00350D61"/>
    <w:rsid w:val="003536EF"/>
    <w:rsid w:val="003E3B8F"/>
    <w:rsid w:val="0043478E"/>
    <w:rsid w:val="00436728"/>
    <w:rsid w:val="00466487"/>
    <w:rsid w:val="004C413D"/>
    <w:rsid w:val="00513DB2"/>
    <w:rsid w:val="0055136B"/>
    <w:rsid w:val="005D4367"/>
    <w:rsid w:val="005F0BF2"/>
    <w:rsid w:val="00621927"/>
    <w:rsid w:val="006556BF"/>
    <w:rsid w:val="006C7A64"/>
    <w:rsid w:val="00704628"/>
    <w:rsid w:val="00737BBF"/>
    <w:rsid w:val="007832CC"/>
    <w:rsid w:val="007951DB"/>
    <w:rsid w:val="007A29BF"/>
    <w:rsid w:val="007D5D3F"/>
    <w:rsid w:val="007F1C8F"/>
    <w:rsid w:val="007F6058"/>
    <w:rsid w:val="008A02A3"/>
    <w:rsid w:val="008B09D7"/>
    <w:rsid w:val="008E1764"/>
    <w:rsid w:val="008E2276"/>
    <w:rsid w:val="008F2415"/>
    <w:rsid w:val="00943038"/>
    <w:rsid w:val="00953E43"/>
    <w:rsid w:val="00974D56"/>
    <w:rsid w:val="00A86FD7"/>
    <w:rsid w:val="00AB1E91"/>
    <w:rsid w:val="00AE35B2"/>
    <w:rsid w:val="00AF792A"/>
    <w:rsid w:val="00B02D39"/>
    <w:rsid w:val="00B23DA4"/>
    <w:rsid w:val="00B85DDF"/>
    <w:rsid w:val="00BB0B39"/>
    <w:rsid w:val="00BD321A"/>
    <w:rsid w:val="00C46C6B"/>
    <w:rsid w:val="00C46E52"/>
    <w:rsid w:val="00C51BE0"/>
    <w:rsid w:val="00C73EA6"/>
    <w:rsid w:val="00C83DF4"/>
    <w:rsid w:val="00C91767"/>
    <w:rsid w:val="00C9297D"/>
    <w:rsid w:val="00CB3F6C"/>
    <w:rsid w:val="00CD1318"/>
    <w:rsid w:val="00CF5EBD"/>
    <w:rsid w:val="00D007A8"/>
    <w:rsid w:val="00D13ADC"/>
    <w:rsid w:val="00D56634"/>
    <w:rsid w:val="00D612C2"/>
    <w:rsid w:val="00DD5808"/>
    <w:rsid w:val="00DF1265"/>
    <w:rsid w:val="00E324C1"/>
    <w:rsid w:val="00E67D0D"/>
    <w:rsid w:val="00E861FB"/>
    <w:rsid w:val="00E92DEF"/>
    <w:rsid w:val="00EA665F"/>
    <w:rsid w:val="00EF6676"/>
    <w:rsid w:val="00F304A6"/>
    <w:rsid w:val="00F65E1F"/>
    <w:rsid w:val="00F92B70"/>
    <w:rsid w:val="15043E28"/>
    <w:rsid w:val="15267BF9"/>
    <w:rsid w:val="2A74741D"/>
    <w:rsid w:val="30073F41"/>
    <w:rsid w:val="5F521F9B"/>
    <w:rsid w:val="6152416F"/>
    <w:rsid w:val="776B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  <w:style w:type="table" w:customStyle="1" w:styleId="10">
    <w:name w:val="浅色底纹1"/>
    <w:basedOn w:val="5"/>
    <w:qFormat/>
    <w:uiPriority w:val="60"/>
    <w:rPr>
      <w:rFonts w:ascii="Times New Roman" w:hAnsi="Times New Roman" w:eastAsia="宋体" w:cs="Times New Roman"/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60"/>
    <customShpInfo spid="_x0000_s2059"/>
    <customShpInfo spid="_x0000_s205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AA95DF-BB26-4000-B56C-14F5175EBB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775</Words>
  <Characters>1013</Characters>
  <Lines>8</Lines>
  <Paragraphs>2</Paragraphs>
  <TotalTime>23</TotalTime>
  <ScaleCrop>false</ScaleCrop>
  <LinksUpToDate>false</LinksUpToDate>
  <CharactersWithSpaces>1053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2018-08-28T01:33:00Z</dcterms:created>
  <dc:creator>Qin Yu-秦超(NAR)</dc:creator>
  <cp:lastModifiedBy>006152</cp:lastModifiedBy>
  <cp:lastPrinted>2018-08-20T01:40:00Z</cp:lastPrinted>
  <dcterms:modified xsi:type="dcterms:W3CDTF">2025-07-04T08:27:32Z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87EC094B7A6B408A975403FD72B6B83C_13</vt:lpwstr>
  </property>
</Properties>
</file>